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bookmarkStart w:id="0" w:name="_GoBack"/>
      <w:bookmarkEnd w:id="0"/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医学检验系实验室精密仪器监控预算及相关参数</w:t>
      </w:r>
    </w:p>
    <w:p>
      <w:pPr>
        <w:rPr>
          <w:sz w:val="28"/>
          <w:szCs w:val="28"/>
        </w:rPr>
      </w:pPr>
    </w:p>
    <w:tbl>
      <w:tblPr>
        <w:tblStyle w:val="10"/>
        <w:tblW w:w="145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851"/>
        <w:gridCol w:w="8080"/>
        <w:gridCol w:w="850"/>
        <w:gridCol w:w="709"/>
        <w:gridCol w:w="709"/>
        <w:gridCol w:w="813"/>
        <w:gridCol w:w="74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产品名称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品牌</w:t>
            </w:r>
          </w:p>
        </w:tc>
        <w:tc>
          <w:tcPr>
            <w:tcW w:w="8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参数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单位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数量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单价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合计</w:t>
            </w:r>
          </w:p>
        </w:tc>
        <w:tc>
          <w:tcPr>
            <w:tcW w:w="7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摄像机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海康威视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最高分辨率可达1280×960 @ 30 fps,在该分辨率下可输出实时图像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·采用ROI等视频压缩技术,压缩比高,且处理非常灵活,超低码率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·码流平滑设置，适应不同场景下对图像质量、流畅性的不同要求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·支持GBK字库，支持更多汉字及生僻字叠加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·支持OSD颜色自选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·支持Micro SD/SDHC/SDXC卡(128G)本地存储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·采用高效红外灯,使用寿命长,照射距离可达20-30米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·支持smart IR，防止夜间红外过曝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·ICR红外滤片式自动切换,实现真正的日夜监控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·支持日夜两套参数独立配置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·可支持PoE供电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·支持3D数字降噪,支持数字宽动态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·支持三码流,支持手机监控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·支持走廊模式,背光补偿,自动电子快门功能,适应不同监控环境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·功能齐全:心跳,镜像,一键恢复等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·支持多种智能报警功能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·支持智能后检索，配合NVR支持事件的二次检索分析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·支持GB28181接入,支持EHOME平台接入,支持EZVIZ平台接入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·支持NAS、Email、FTP、NTP服务器测试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·支持HTTPS,SSH等安全认证，支持创建证书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·支持用户登录锁定机制，及密码复杂度提示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·符合IP67级防尘防水设计,可靠性高，监控摄像头与硬盘录像机必须为同一品牌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参考品牌</w:t>
            </w:r>
            <w:r>
              <w:rPr>
                <w:rFonts w:hint="eastAsia" w:ascii="宋体" w:hAnsi="宋体" w:cs="宋体"/>
                <w:kern w:val="0"/>
                <w:sz w:val="20"/>
              </w:rPr>
              <w:t>实验室用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摄像机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海康威视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130万1/3” CMOS ICR日夜型半球型网络摄像机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摄像机 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传感器类型 1/3" Progressive Scan CMOS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最小照度 0.01Lux @(F1.2,AGC ON) ,0 Lux with IR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0.014 Lux @(F1.4,AGC ON), 0 Lux with IR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快门 1/3秒至1/100,000秒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镜头 2.7-12mm @ F1.4, 水平视场角:98°-30.2°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(2.8mm、4mm、6mm、8mm、12mm定焦可选)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镜头接口类型 Φ14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调整角度 水平:0°~355°,垂直:0°~75°,旋转0°~355°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日夜转换模式 ICR红外滤片式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宽动态范围 120dB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数字降噪 3D 数字降噪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压缩标准 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视频压缩标准 H.264/MJPEG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H.264 编码类型 BaseLine Profile / Main Profile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压缩输出码率 32 Kbps~8Mbps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音频压缩标准 G.711/G.722.1/G.726/MP2L2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音频压缩码率 64Kbps(G.711) / 16Kbps(G.722.1) / 16Kbps(G.726) / 32-128Kbps(MP2L2)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图像 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最大图像尺寸 1280×960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帧率 50Hz: 25fps (1280 × 960), 25fps (1280 × 720)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60Hz: 30fps (1280 × 960), 30fps (1280 × 720)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图像设置 走廊模式,亮度,对比度,饱和度,锐度等通过客户端或者浏览器可调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背光补偿 支持,可选择区域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感兴趣区域 ROI支持三码流分别设置1个固定区域 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网络功能 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存储功能 支持Micro SD/SDHC/SDXC卡(128G)断网本地存储,NAS(NFS,SMB/CIFS均支持)  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接口协议 ONVIF,PSIA,CGI,ISAPI,GB28181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智能报警 移动侦测,动态分析,遮挡报警,网线断,IP地址冲突,存储器满,存储器错 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智能报警 越界侦测,区域入侵侦测,场景变更侦测,人脸侦测,虚焦侦测,音频异常侦测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支持协议 TCP/IP,ICMP,HTTP,HTTPS,FTP,DHCP,DNS,DDNS,RTP,RTSP,RTCP,NTP,UPnP,SMTP,IGMP,802.1X,QoS,IPv6,Bonjour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通用功能 一键恢复,三码流,心跳,镜像,密码保护,视频遮盖,水印技术,匿名访问,IP地址过滤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接口 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通讯接口 1个 RJ45 10M / 100M 自适应以太网口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一般规范 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工作温度和湿度 -30℃~60℃,湿度小于95%(无凝结)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电源供应 DC12V±25% / PoE(802.3af) 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功耗 5.5W MAX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防暴等级 IK10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防护等级 IP67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红外照射距离 20-30米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尺寸（mm） Φ139.9×99.9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重量 1000g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备注 *须另备DC12V Φ5.5mm圆头电源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*“-S”表示具有1对音频输入（Line in）/输出接口（插线式）、1对报警输入/输出（三极管：超过100毫安建议加继电器）接口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监控摄像头与硬盘录像机必须为同一品牌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参考品牌</w:t>
            </w:r>
            <w:r>
              <w:rPr>
                <w:rFonts w:hint="eastAsia" w:ascii="宋体" w:hAnsi="宋体" w:cs="宋体"/>
                <w:kern w:val="0"/>
                <w:sz w:val="20"/>
              </w:rPr>
              <w:t>实验室带拾音功能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摄像机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海康威视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最高分辨率可达1280×960 @ 30 fps,在该分辨率下可输出实时图像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·采用ROI等视频压缩技术,压缩比高,且处理非常灵活,超低码率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·码流平滑设置，适应不同场景下对图像质量、流畅性的不同要求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·支持GBK字库，支持更多汉字及生僻字叠加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·支持OSD颜色自选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·支持Micro SD/SDHC/SDXC卡(128G)本地存储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·采用高效红外灯,使用寿命长,照射距离可达20-30米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·支持smart IR，防止夜间红外过曝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·ICR红外滤片式自动切换,实现真正的日夜监控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·支持日夜两套参数独立配置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·可支持PoE供电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·支持3D数字降噪,支持数字宽动态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·支持三码流,支持手机监控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·支持走廊模式,背光补偿,自动电子快门功能,适应不同监控环境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·功能齐全:心跳,镜像,一键恢复等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·支持多种智能报警功能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·支持智能后检索，配合NVR支持事件的二次检索分析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·支持GB28181接入,支持EHOME平台接入,支持EZVIZ平台接入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·支持NAS、Email、FTP、NTP服务器测试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·支持HTTPS,SSH等安全认证，支持创建证书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·支持用户登录锁定机制，及密码复杂度提示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·符合IP67级防尘防水设计,可靠性高，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监控摄像头与硬盘录像机必须为同一品牌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参考品牌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4层走廊，每层4个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硬盘录像机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 xml:space="preserve">海康威视 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可接驳符合ONVIF、PSIA、RTSP标准及众多主流厂商的网络摄像机；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•支持国标28181协议、Ehome协议接入平台；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•支持萤石云服务，可一键配置上网；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•最大支持600万像素高清网络视频的预览、存储与回放；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•支持IPC集中管理，包括IPC参数配置、信息的导入/导出、语音对讲和升级等功能；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•支持HDMI与VGA同源输出，输出分辨率最高均可达1920x1080；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•全新的UI操作界面，支持一键开启录像功能；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•支持冗余录像和假日录像；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•支持海康SMART IPC越界、进入区域、离开区域、区域入侵、徘徊、人员聚焦、快速移动、非法停车、物品遗留、物品拿取、人脸、车牌、音频输入异常、声强突变、虚焦以及场景变更等多种智能侦测接入与联动；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•支持智能搜索、回放及备份功能，有效提高录像检索与回放效率；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•支持即时回放功能，在预览画面下对指定通道的当前录像进行回放，并且不影响其他通道预览；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•支持最大16路4CIF实时同步回放和多路同步倒放；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•支持标签定义、查询、回放录像文件；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•支持重要录像文件加锁保护功能；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•支持硬盘配额和硬盘盘组存储模式，可对不同通道分配不同的录像保存容量或周期；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•支持8个SATA接口；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•支持远程零通道预览，使用1路零通道编码视频，预览多通道分割的视频画面，充分获取监控图像信息的同时节省网络传输带宽；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 xml:space="preserve">•支持网络检测（网络流量监控、网络抓包、网络资源统计）功能。 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监控摄像头与硬盘录像机必须为同一品牌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参考品牌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监控硬盘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希捷企业级专用硬盘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4TB/128MB(6Gb/秒 NCQ)/7200RPM/SATA3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块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参考品牌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交换机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H3C16口千兆POE交换机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1.★设备固化千兆电口数≥16个，4个独立的千兆SFP端口；2.★交换容量≥192Gbps，包转发速率≥30Mpps；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3.支持DHCP Relay,支持DHCP Client,支持DHCP Snooping,支持DHCP Snooping Option82；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4.★支持通过FTP、TFTP实现设备的远程升级，支持SNMP v1/v2/v3，可支持Open View等通用网管平台，以及智能管理中心。支持CLI命令行，Web网管，TELNET，使设备管理更方便。并且支持SSH2.0等加密方式，使得管理更加安全；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5.★支持≥6KV业务端口防雷能力，提供官网截图及连接；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6.支持基于端口的VLAN≥4K，支持基于MAC的VLAN,支持GUEST VLAN，支持802.1X认证；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7.★支持广播报文抑制、支持SAVI 源地址有效性验证、IP+MAC+端口+VLAN的绑定，ARP入侵检测功能；提供官网截图及链接；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8.采用多种绿色节能设计，满足材料环保与安全性的欧盟RoHS标准；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9.★所投摄像机和硬盘录像机必须为同一品牌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交换机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H3C8口千兆POE交换机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1.支持10/100/1000Mbps传输速率、支持半双工、全双工、自协商工作模式、支持MDI/MDIX自适应，10/100Base-TX：3/4/5类双绞线、支持最大传输距离100m、1000Base-T:5/6类双绞线，交换容量：16Gbps，转发能力：12Mpps，IEEE802.3 10BASE-T以太网、IEEE802.3ab 100BASE-T千兆以太网、ANSI/IEEE802.3 NWay 自动协商、IEEE802.3x流控、IEEE802.3u，交换模式：存储转发模式，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网线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六类网线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国标YD/T 1019-2001；ANSI/EIA/TIA-568-B。2-2001;ISO/IEC11801六类无氧铜线缆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箱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线管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PVC线管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20mmPVC线槽/20MMPVC线管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米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400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显示器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自备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水晶头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6类水晶头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个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监控支架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海康威视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1、压铸铝合金材质，表面做喷塑处理；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2、支架带出线孔，安装更加美观；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3、摄像机安装座表面有海绵垫，保证和摄像机底座结合更紧密；</w:t>
            </w:r>
            <w:r>
              <w:rPr>
                <w:rFonts w:hint="eastAsia" w:ascii="宋体" w:hAnsi="宋体" w:cs="宋体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</w:rPr>
              <w:t>4、摄像机安装座可旋转，方便摄像机调整角度；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个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参考品牌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挂墙机箱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图腾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6u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参考品牌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安装辅材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排，接地线，标准件，管材，标签，胶布，扎带，接线子，水晶头等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安装调试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包含布线施工及调试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批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合计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8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</w:tbl>
    <w:p>
      <w:pPr>
        <w:rPr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40" w:h="11907" w:orient="landscape"/>
      <w:pgMar w:top="1247" w:right="1440" w:bottom="1247" w:left="1440" w:header="851" w:footer="992" w:gutter="0"/>
      <w:cols w:space="425" w:num="1"/>
      <w:docGrid w:linePitch="30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63701412"/>
    </w:sdtPr>
    <w:sdtContent>
      <w:p>
        <w:pPr>
          <w:pStyle w:val="5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30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C79"/>
    <w:rsid w:val="0006752D"/>
    <w:rsid w:val="00097E86"/>
    <w:rsid w:val="002B2C79"/>
    <w:rsid w:val="003B4256"/>
    <w:rsid w:val="003B5F4C"/>
    <w:rsid w:val="003B712A"/>
    <w:rsid w:val="003C74A7"/>
    <w:rsid w:val="003D2F4E"/>
    <w:rsid w:val="00404F53"/>
    <w:rsid w:val="004C19AD"/>
    <w:rsid w:val="0062536E"/>
    <w:rsid w:val="00667477"/>
    <w:rsid w:val="00825A19"/>
    <w:rsid w:val="0085123C"/>
    <w:rsid w:val="008749AA"/>
    <w:rsid w:val="00A473C7"/>
    <w:rsid w:val="00A638A6"/>
    <w:rsid w:val="00A773EA"/>
    <w:rsid w:val="00AA5DCC"/>
    <w:rsid w:val="00AC7C30"/>
    <w:rsid w:val="00AD047E"/>
    <w:rsid w:val="00AE3D93"/>
    <w:rsid w:val="00B05A5B"/>
    <w:rsid w:val="00C87828"/>
    <w:rsid w:val="00CD0350"/>
    <w:rsid w:val="00D00C4A"/>
    <w:rsid w:val="00D804DF"/>
    <w:rsid w:val="00E01764"/>
    <w:rsid w:val="00E025A7"/>
    <w:rsid w:val="00E25B93"/>
    <w:rsid w:val="00EA70EC"/>
    <w:rsid w:val="00F56DEE"/>
    <w:rsid w:val="00F75E12"/>
    <w:rsid w:val="00F945C8"/>
    <w:rsid w:val="62B85F8E"/>
    <w:rsid w:val="6E4A0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0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2"/>
    <w:qFormat/>
    <w:uiPriority w:val="0"/>
    <w:pPr>
      <w:keepNext/>
      <w:keepLines/>
      <w:spacing w:before="260" w:after="260" w:line="416" w:lineRule="auto"/>
      <w:jc w:val="center"/>
      <w:outlineLvl w:val="2"/>
    </w:pPr>
    <w:rPr>
      <w:rFonts w:ascii="宋体" w:cs="Times New Roman"/>
      <w:b/>
      <w:bCs/>
      <w:kern w:val="0"/>
      <w:sz w:val="32"/>
      <w:szCs w:val="32"/>
    </w:rPr>
  </w:style>
  <w:style w:type="paragraph" w:styleId="4">
    <w:name w:val="heading 4"/>
    <w:basedOn w:val="1"/>
    <w:next w:val="1"/>
    <w:link w:val="13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cs="Times New Roman"/>
      <w:b/>
      <w:bCs/>
      <w:sz w:val="28"/>
      <w:szCs w:val="28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color w:val="CC0000"/>
    </w:rPr>
  </w:style>
  <w:style w:type="character" w:customStyle="1" w:styleId="11">
    <w:name w:val="标题 2 Char"/>
    <w:basedOn w:val="7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标题 3 Char"/>
    <w:basedOn w:val="7"/>
    <w:link w:val="3"/>
    <w:qFormat/>
    <w:uiPriority w:val="0"/>
    <w:rPr>
      <w:rFonts w:ascii="宋体" w:hAnsi="Times New Roman" w:eastAsia="宋体" w:cs="Times New Roman"/>
      <w:b/>
      <w:bCs/>
      <w:kern w:val="0"/>
      <w:sz w:val="32"/>
      <w:szCs w:val="32"/>
    </w:rPr>
  </w:style>
  <w:style w:type="character" w:customStyle="1" w:styleId="13">
    <w:name w:val="标题 4 Char"/>
    <w:basedOn w:val="7"/>
    <w:link w:val="4"/>
    <w:uiPriority w:val="9"/>
    <w:rPr>
      <w:rFonts w:ascii="Cambria" w:hAnsi="Cambria" w:eastAsia="宋体" w:cs="Times New Roman"/>
      <w:b/>
      <w:bCs/>
      <w:sz w:val="28"/>
      <w:szCs w:val="28"/>
    </w:rPr>
  </w:style>
  <w:style w:type="paragraph" w:customStyle="1" w:styleId="1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16">
    <w:name w:val="页眉 Char"/>
    <w:basedOn w:val="7"/>
    <w:link w:val="6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17">
    <w:name w:val="页脚 Char"/>
    <w:basedOn w:val="7"/>
    <w:link w:val="5"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673</Words>
  <Characters>3838</Characters>
  <Lines>31</Lines>
  <Paragraphs>9</Paragraphs>
  <ScaleCrop>false</ScaleCrop>
  <LinksUpToDate>false</LinksUpToDate>
  <CharactersWithSpaces>4502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2017-03-27T06:39:00Z</dcterms:created>
  <dc:creator>微软用户</dc:creator>
  <cp:lastModifiedBy>Admin</cp:lastModifiedBy>
  <dcterms:modified xsi:type="dcterms:W3CDTF">2017-04-12T08:16:04Z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